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2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4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pStyle w:val="84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pStyle w:val="84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УРОКИ, ИЗВЛЕЧЕННЫЕ ИЗ АВАРИИ</w:t>
      </w:r>
      <w:r/>
    </w:p>
    <w:p>
      <w:pPr>
        <w:pStyle w:val="841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1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Дата происшествия: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25.08.2023., 15 часов 27 минут (московского)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1"/>
              <w:contextualSpacing w:val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1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Наименование организации: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Забайкальское ПМЭС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Забайкальская дирекция по энергообеспечению – структурного подразделения Трансэнерго – филиала ОАО «РЖД»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1"/>
              <w:contextualSpacing w:val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1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Ведомственная принадлежность: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pStyle w:val="841"/>
              <w:contextualSpacing w:val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1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Место аварии: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 220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Забайкальское ПМЭС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1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Вид аварии: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pStyle w:val="841"/>
              <w:contextualSpacing w:val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включающего в себя электростанцию (электростанции) установленной мощностью 25 МВт и более (при отключении всех электрических связей с ЕЭС России или технологически изолированной территориальной энергосистемой), с переходом на изолированную от ЕЭС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или технологически изолированной территориальной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Неправильные действия защитных устройств и (или) систем автоматики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2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раткое описание аварии:</w:t>
            </w:r>
            <w:r/>
          </w:p>
          <w:p>
            <w:pPr>
              <w:pStyle w:val="841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pStyle w:val="841"/>
              <w:contextualSpacing w:val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25.08.2023 в 16-10 (время московское) на ПС 220 кВ Чита односторонне отключилась ВЛ 220 кВ Читинская ТЭЦ-1 — Чита, II цепь (ВЛ-296) действием 3 ст. ДЗ с неуспешным АПВ. В этот период в ремонте находилась ВЛ 220 кВ Читинская ТЭЦ-1 - Чита, I цепь (ВЛ-293).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результате аварийного отключения произошло выделение на изолированную работу от ЕЭС России Юго-Восточного и Читинского энергорайонов, в состав которого входят Читинская ТЭЦ-1, Читинская ТЭЦ-2, Шерловогорская ТЭЦ и Приаргунская ТЭЦ, Харанорская ГРЭС, ТЭЦ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ППГХО», Читинская СЭС, Черновская СЭС, Ингодинская СЭС, Кенонская СЭС с дефицитом мощности, кратковременным снижением частоты до 49,77 Гц.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2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Последствия аварии:</w:t>
            </w:r>
            <w:r/>
          </w:p>
          <w:p>
            <w:pPr>
              <w:pStyle w:val="842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произошло отделение Юго-восточного и Читинского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энергорайонов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энергосистемы Забайкальского края на изолированную работу с дефицитом мощности, снижением частоты до 49,77 Гц и последующей загрузкой станций в отделившихся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энергорайонах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действием систем регулирования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ВЛ 220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Читинская ТЭЦ-1 – Чита II цепь (ВЛ-296) составлял 47 МВт в сторону Читинской ТЭЦ-1). При этом на ПС 220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Озёрная, запитанной от ПС 220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Чита, произошло увеличение напряжения на шинах 220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261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1"/>
              <w:contextualSpacing w:val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Последствий для потребителей не было.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2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1. Технические причины аварии:</w:t>
            </w:r>
            <w:r/>
          </w:p>
          <w:p>
            <w:pPr>
              <w:pStyle w:val="842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2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2. Организационные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причины аварии:</w:t>
            </w:r>
            <w:bookmarkStart w:id="0" w:name="_GoBack"/>
            <w:r/>
            <w:bookmarkEnd w:id="0"/>
            <w:r/>
            <w:r/>
          </w:p>
          <w:p>
            <w:pPr>
              <w:pStyle w:val="842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аличие между величинами фазных токов в сети 220 кВ существенной несимметрии (Ia=218 А, Ia=139 A, Ib=215 A, Kнес. по току =56,8%) приводит к возникновению непрогнозируемых несимметричных нагрузочных режимов работы сети, создаваемых тяговой нагрузкой Забайка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ьской дирекции управления перевозок ОАО «РЖД». По этой причине отсутствует возможность корректной отстройки дистанционной защиты от таких нагрузочных режимов в условиях необходимости обеспечения дальнего резервирования и обеспечения требуемых коэффициентов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чувствительности.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5.08.2023 в 15-27 и в 16-10 возникновение непрогнозируемого несимметричного нагрузочного режима привело к допущенному неправильному срабатыванию 3 ступени ДЗ в составе Комплекта РЗ ВЛ 220 кВ Читинская ТЭЦ-1 – Чита II цепь (НВЧЗ, ДЗ, ТЗНП, МТЗ) (ШЭ2607 632)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НВЧЗ ВЛ 220 кВ Читинская ТЭЦ-1 – Чита II цепь (НВЧЗ, ДЗ, ТЗНП, МТЗ) (ШЭ2607 632) на ПС 220 кВ Чита с действием на отключение ВЛ 220 кВ Читинская ТЭЦ-1 – Чита II цепь (ВЛ-296) на ПС 220 кВ Чита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едостаток проекта, связанный с выбором параметров трансформатора тока ТТ В-296 на ПС 220 кВ Чита, выполненный без учёта возможности насыщения магнитопровода в переходном режиме при включении выключателя В-296 в цикле АПВ (при замыкании в транзит ВЛ 220 кВ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итинская ТЭЦ-1 – Чита II цепь (ВЛ-296)), который привел к искажению формы и величины тока в фазе «А» (относительно фаз «В» и «С») и возникновению составляющей тока нулевой последовательности, что явилось причиной допущенного неправильного действия автомати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ческого ускорения 2 ступени ТНЗНП.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1"/>
              <w:contextualSpacing w:val="0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2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3. Технические мероприятия:</w:t>
            </w:r>
            <w:r/>
          </w:p>
          <w:p>
            <w:pPr>
              <w:pStyle w:val="842"/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условиях несимметрии токов, обусловленной тяговой нагрузкой ОАО «РЖД», выполнить расчет параметров настройки защит ВЛ 220 кВ Читинская ТЭЦ-1 – Чита I цепь (ВЛ-293) и ВЛ 220 кВ Читинская ТЭЦ-1 – Чита II цепь (ВЛ-296) на ПС 220 кВ Чита с учётом отказа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дальнего резервирования дистанционных защит ВЛ 220 кВ Читинская ТЭЦ-1 – Новая (ВЛ-201) для сокращения зоны их срабатывания, с целью отстройки от несимметрии токов в нагрузочных режимах.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соответствующие задания в Филиал ПАО «Россети» – Забайкальское ПМЭС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  <w:tab/>
              <w:t xml:space="preserve">На ПС 220 кВ Чита провести в соответствии с действующими методиками расчёты времени до насыщения ТТ ВЛ 220 кВ Читинская ТЭЦ-1 – Чита II цепь (ВЛ-296) для их использования при разработке организационного мероприятия по пункту 3.2.3.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Читинской ТЭЦ-1, в соответствии с пунктом 150 Правил технологического функционирования электроэнергетических систем, обеспечить ближнее резервирование комплектов защит ВЛ 220 кВ Читинская ТЭЦ-1 – Новая (ВЛ-201) путём монтажа дополнительных цепей отключ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от защит и установки дополнительных электромагнитов отключения выключателя МВ-220-201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1"/>
              <w:contextualSpacing w:val="0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4. Организационные мероприятия:</w:t>
            </w:r>
            <w:r/>
          </w:p>
          <w:p>
            <w:pPr>
              <w:pStyle w:val="842"/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pStyle w:val="673"/>
              <w:numPr>
                <w:ilvl w:val="0"/>
                <w:numId w:val="1"/>
              </w:num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абайкальской дирекции по энергообеспечению – структурному подразделению Трансэнерго – филиала ОАО «РЖД» разработать план-график реализации мероприятий, направленных на снижение несимметрии токов, обусловленной несимметричной тяговой нагрузкой на тяговом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астке ПС 220 кВ Тарбагатай – ПС 220 кВ Чичатка. План-график предоставить в Забайкальское управление Ростехнадзора и Филиал АО «СО ЕЭС» Забайкальское РДУ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73"/>
              <w:numPr>
                <w:ilvl w:val="0"/>
                <w:numId w:val="1"/>
              </w:num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ключить трансформаторы тока ВЛ 220 кВ Читинская ТЭЦ-1 – Чита II цепь (ВЛ-296) на ПС 220 кВ Чита в Перечень устройств релейной защиты линий электропередачи и оборудования с наличием рисков неправильной работы устройств релейной защиты в переходных режимах,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сопровождающихся насыщением трансформаторов тока в операционной зоне Филиала АО «СО ЕЭС» Забайкальское РДУ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673"/>
              <w:numPr>
                <w:ilvl w:val="0"/>
                <w:numId w:val="1"/>
              </w:num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мероприятия, исключающие риски неправильной работы РЗ ВЛ 220 кВ Читинская ТЭЦ-1 – Чита II цепь (ВЛ-296) на ПС 220 кВ Чита в переходных режимах, сопровождающихся насыщением ТТ, на основании расчетов времени до насыщения.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 w:val="0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разработанных мероприятиях и сроках их реализации представить в Филиал АО «СО ЕЭС» Забайкальское РДУ.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41"/>
              <w:contextualSpacing w:val="0"/>
              <w:ind w:left="0"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6" w:type="dxa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eastAsia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</w:rPr>
              <w:t xml:space="preserve">. Извлеченные уроки: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22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на необходимость минимизации несимметрии тока в тяговой электрической сети 220 кВ.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41"/>
        <w:jc w:val="center"/>
        <w:rPr>
          <w:sz w:val="8"/>
        </w:rPr>
      </w:pPr>
      <w:r>
        <w:rPr>
          <w:sz w:val="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1134" w:bottom="851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Open Sans">
    <w:panose1 w:val="020B0606030504020204"/>
  </w:font>
  <w:font w:name="XO Thames">
    <w:panose1 w:val="02000000000000000000"/>
  </w:font>
  <w:font w:name="Arial">
    <w:panose1 w:val="020B0604020202020204"/>
  </w:font>
  <w:font w:name="Tahoma">
    <w:panose1 w:val="020B0604030504040204"/>
  </w:font>
  <w:font w:name="Tempora LGC Uni">
    <w:panose1 w:val="02000000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br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br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empora LGC Uni" w:hAnsi="Tempora LGC Uni" w:eastAsia="Tempora LGC Uni" w:cs="Tempora LGC Un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3"/>
    <w:link w:val="82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3"/>
    <w:link w:val="82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833"/>
    <w:link w:val="83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83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833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3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7"/>
    <w:next w:val="827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3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7"/>
    <w:next w:val="827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7"/>
    <w:next w:val="827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27"/>
    <w:uiPriority w:val="34"/>
    <w:qFormat/>
    <w:pPr>
      <w:contextualSpacing/>
      <w:ind w:left="720"/>
    </w:pPr>
  </w:style>
  <w:style w:type="character" w:styleId="674">
    <w:name w:val="Title Char"/>
    <w:basedOn w:val="833"/>
    <w:link w:val="860"/>
    <w:uiPriority w:val="10"/>
    <w:rPr>
      <w:sz w:val="48"/>
      <w:szCs w:val="48"/>
    </w:rPr>
  </w:style>
  <w:style w:type="character" w:styleId="675">
    <w:name w:val="Subtitle Char"/>
    <w:basedOn w:val="833"/>
    <w:link w:val="858"/>
    <w:uiPriority w:val="11"/>
    <w:rPr>
      <w:sz w:val="24"/>
      <w:szCs w:val="24"/>
    </w:rPr>
  </w:style>
  <w:style w:type="paragraph" w:styleId="676">
    <w:name w:val="Quote"/>
    <w:basedOn w:val="827"/>
    <w:next w:val="827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7"/>
    <w:next w:val="827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33"/>
    <w:link w:val="862"/>
    <w:uiPriority w:val="99"/>
  </w:style>
  <w:style w:type="character" w:styleId="681">
    <w:name w:val="Footer Char"/>
    <w:basedOn w:val="833"/>
    <w:link w:val="864"/>
    <w:uiPriority w:val="99"/>
  </w:style>
  <w:style w:type="character" w:styleId="682">
    <w:name w:val="Caption Char"/>
    <w:basedOn w:val="846"/>
    <w:link w:val="864"/>
    <w:uiPriority w:val="99"/>
  </w:style>
  <w:style w:type="table" w:styleId="683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3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4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5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6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7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8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3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3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rPr>
      <w:color w:val="000000"/>
      <w:sz w:val="24"/>
      <w:szCs w:val="24"/>
    </w:rPr>
  </w:style>
  <w:style w:type="paragraph" w:styleId="828">
    <w:name w:val="Heading 1"/>
    <w:basedOn w:val="841"/>
    <w:next w:val="841"/>
    <w:pPr>
      <w:spacing w:before="120" w:after="120"/>
      <w:outlineLvl w:val="0"/>
    </w:pPr>
    <w:rPr>
      <w:rFonts w:ascii="XO Thames" w:hAnsi="XO Thames" w:eastAsia="XO Thames" w:cs="XO Thames"/>
      <w:b/>
      <w:bCs/>
      <w:sz w:val="32"/>
      <w:szCs w:val="32"/>
    </w:rPr>
  </w:style>
  <w:style w:type="paragraph" w:styleId="829">
    <w:name w:val="Heading 2"/>
    <w:basedOn w:val="841"/>
    <w:next w:val="841"/>
    <w:pPr>
      <w:spacing w:before="120" w:after="120"/>
      <w:outlineLvl w:val="1"/>
    </w:pPr>
    <w:rPr>
      <w:rFonts w:ascii="XO Thames" w:hAnsi="XO Thames" w:eastAsia="XO Thames" w:cs="XO Thames"/>
      <w:b/>
      <w:bCs/>
      <w:color w:val="00a0ff"/>
      <w:sz w:val="26"/>
      <w:szCs w:val="26"/>
    </w:rPr>
  </w:style>
  <w:style w:type="paragraph" w:styleId="830">
    <w:name w:val="Heading 3"/>
    <w:basedOn w:val="841"/>
    <w:next w:val="841"/>
    <w:pPr>
      <w:outlineLvl w:val="2"/>
    </w:pPr>
    <w:rPr>
      <w:rFonts w:ascii="XO Thames" w:hAnsi="XO Thames" w:eastAsia="XO Thames" w:cs="XO Thames"/>
      <w:b/>
      <w:bCs/>
      <w:i/>
      <w:iCs/>
    </w:rPr>
  </w:style>
  <w:style w:type="paragraph" w:styleId="831">
    <w:name w:val="Heading 4"/>
    <w:basedOn w:val="841"/>
    <w:next w:val="841"/>
    <w:pPr>
      <w:spacing w:before="120" w:after="120"/>
      <w:outlineLvl w:val="3"/>
    </w:pPr>
    <w:rPr>
      <w:rFonts w:ascii="XO Thames" w:hAnsi="XO Thames" w:eastAsia="XO Thames" w:cs="XO Thames"/>
      <w:b/>
      <w:bCs/>
      <w:color w:val="595959"/>
      <w:sz w:val="26"/>
      <w:szCs w:val="26"/>
    </w:rPr>
  </w:style>
  <w:style w:type="paragraph" w:styleId="832">
    <w:name w:val="Heading 5"/>
    <w:basedOn w:val="841"/>
    <w:next w:val="841"/>
    <w:pPr>
      <w:spacing w:before="120" w:after="120"/>
      <w:outlineLvl w:val="4"/>
    </w:pPr>
    <w:rPr>
      <w:rFonts w:ascii="XO Thames" w:hAnsi="XO Thames" w:eastAsia="XO Thames" w:cs="XO Thames"/>
      <w:b/>
      <w:bCs/>
      <w:sz w:val="22"/>
      <w:szCs w:val="22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tents 2"/>
    <w:basedOn w:val="841"/>
    <w:next w:val="841"/>
    <w:pPr>
      <w:ind w:left="200"/>
    </w:pPr>
  </w:style>
  <w:style w:type="paragraph" w:styleId="837" w:customStyle="1">
    <w:name w:val="Contents 4"/>
    <w:basedOn w:val="841"/>
    <w:next w:val="841"/>
    <w:pPr>
      <w:ind w:left="600"/>
    </w:pPr>
  </w:style>
  <w:style w:type="paragraph" w:styleId="838" w:customStyle="1">
    <w:name w:val="Текст выноски Знак"/>
    <w:basedOn w:val="845"/>
    <w:rPr>
      <w:rFonts w:ascii="Tahoma" w:hAnsi="Tahoma" w:eastAsia="Tahoma" w:cs="Tahoma"/>
      <w:sz w:val="16"/>
      <w:szCs w:val="16"/>
    </w:rPr>
  </w:style>
  <w:style w:type="paragraph" w:styleId="839" w:customStyle="1">
    <w:name w:val="Contents 6"/>
    <w:basedOn w:val="841"/>
    <w:next w:val="841"/>
    <w:pPr>
      <w:ind w:left="1000"/>
    </w:pPr>
  </w:style>
  <w:style w:type="paragraph" w:styleId="840" w:customStyle="1">
    <w:name w:val="Contents 7"/>
    <w:basedOn w:val="841"/>
    <w:next w:val="841"/>
    <w:pPr>
      <w:ind w:left="1200"/>
    </w:pPr>
  </w:style>
  <w:style w:type="paragraph" w:styleId="841" w:customStyle="1">
    <w:name w:val="Standard"/>
    <w:rPr>
      <w:color w:val="000000"/>
      <w:sz w:val="24"/>
      <w:szCs w:val="24"/>
    </w:rPr>
  </w:style>
  <w:style w:type="paragraph" w:styleId="842" w:customStyle="1">
    <w:name w:val="Table Contents"/>
    <w:basedOn w:val="841"/>
    <w:pPr>
      <w:widowControl w:val="off"/>
    </w:pPr>
  </w:style>
  <w:style w:type="paragraph" w:styleId="843">
    <w:name w:val="Balloon Text"/>
    <w:basedOn w:val="827"/>
    <w:uiPriority w:val="99"/>
    <w:rPr>
      <w:rFonts w:ascii="Tahoma" w:hAnsi="Tahoma" w:eastAsia="Tahoma" w:cs="Tahoma"/>
      <w:sz w:val="16"/>
      <w:szCs w:val="16"/>
    </w:rPr>
  </w:style>
  <w:style w:type="paragraph" w:styleId="844" w:customStyle="1">
    <w:name w:val="Contents 3"/>
    <w:basedOn w:val="841"/>
    <w:next w:val="841"/>
    <w:pPr>
      <w:ind w:left="400"/>
    </w:pPr>
  </w:style>
  <w:style w:type="paragraph" w:styleId="845" w:customStyle="1">
    <w:name w:val="Основной шрифт абзаца1"/>
    <w:rPr>
      <w:color w:val="000000"/>
      <w:sz w:val="24"/>
      <w:szCs w:val="24"/>
    </w:rPr>
  </w:style>
  <w:style w:type="paragraph" w:styleId="846">
    <w:name w:val="Caption"/>
    <w:basedOn w:val="841"/>
    <w:pPr>
      <w:spacing w:before="120" w:after="120"/>
    </w:pPr>
    <w:rPr>
      <w:i/>
      <w:iCs/>
    </w:rPr>
  </w:style>
  <w:style w:type="paragraph" w:styleId="847" w:customStyle="1">
    <w:name w:val="Internet link"/>
    <w:rPr>
      <w:color w:val="0000ff"/>
      <w:sz w:val="24"/>
      <w:szCs w:val="24"/>
      <w:u w:val="single"/>
    </w:rPr>
  </w:style>
  <w:style w:type="paragraph" w:styleId="848" w:customStyle="1">
    <w:name w:val="Footnote"/>
    <w:rPr>
      <w:rFonts w:ascii="XO Thames" w:hAnsi="XO Thames" w:eastAsia="XO Thames" w:cs="XO Thames"/>
      <w:color w:val="000000"/>
      <w:sz w:val="22"/>
      <w:szCs w:val="22"/>
    </w:rPr>
  </w:style>
  <w:style w:type="paragraph" w:styleId="849" w:customStyle="1">
    <w:name w:val="Contents 1"/>
    <w:basedOn w:val="841"/>
    <w:next w:val="841"/>
    <w:rPr>
      <w:rFonts w:ascii="XO Thames" w:hAnsi="XO Thames" w:eastAsia="XO Thames" w:cs="XO Thames"/>
      <w:b/>
      <w:bCs/>
    </w:rPr>
  </w:style>
  <w:style w:type="paragraph" w:styleId="850" w:customStyle="1">
    <w:name w:val="Heading"/>
    <w:basedOn w:val="841"/>
    <w:next w:val="861"/>
    <w:pPr>
      <w:keepNext/>
      <w:spacing w:before="240" w:after="120"/>
    </w:pPr>
    <w:rPr>
      <w:rFonts w:ascii="Open Sans" w:hAnsi="Open Sans" w:eastAsia="Open Sans" w:cs="Open Sans"/>
      <w:sz w:val="28"/>
      <w:szCs w:val="28"/>
    </w:rPr>
  </w:style>
  <w:style w:type="paragraph" w:styleId="851" w:customStyle="1">
    <w:name w:val="Header and Footer"/>
    <w:pPr>
      <w:spacing w:line="360" w:lineRule="auto"/>
    </w:pPr>
    <w:rPr>
      <w:rFonts w:ascii="XO Thames" w:hAnsi="XO Thames" w:eastAsia="XO Thames" w:cs="XO Thames"/>
      <w:color w:val="000000"/>
    </w:rPr>
  </w:style>
  <w:style w:type="paragraph" w:styleId="852" w:customStyle="1">
    <w:name w:val="Contents 9"/>
    <w:basedOn w:val="841"/>
    <w:next w:val="841"/>
    <w:pPr>
      <w:ind w:left="1600"/>
    </w:pPr>
  </w:style>
  <w:style w:type="paragraph" w:styleId="853" w:customStyle="1">
    <w:name w:val="Contents 8"/>
    <w:basedOn w:val="841"/>
    <w:next w:val="841"/>
    <w:pPr>
      <w:ind w:left="1400"/>
    </w:pPr>
  </w:style>
  <w:style w:type="paragraph" w:styleId="854" w:customStyle="1">
    <w:name w:val="Contents 5"/>
    <w:basedOn w:val="841"/>
    <w:next w:val="841"/>
    <w:pPr>
      <w:ind w:left="800"/>
    </w:pPr>
  </w:style>
  <w:style w:type="paragraph" w:styleId="855" w:customStyle="1">
    <w:name w:val="Index"/>
    <w:basedOn w:val="841"/>
  </w:style>
  <w:style w:type="paragraph" w:styleId="856">
    <w:name w:val="List"/>
    <w:basedOn w:val="861"/>
  </w:style>
  <w:style w:type="paragraph" w:styleId="857">
    <w:name w:val="Revision"/>
    <w:rPr>
      <w:color w:val="000000"/>
      <w:sz w:val="24"/>
      <w:szCs w:val="24"/>
    </w:rPr>
  </w:style>
  <w:style w:type="paragraph" w:styleId="858">
    <w:name w:val="Subtitle"/>
    <w:basedOn w:val="841"/>
    <w:next w:val="841"/>
    <w:rPr>
      <w:rFonts w:ascii="XO Thames" w:hAnsi="XO Thames" w:eastAsia="XO Thames" w:cs="XO Thames"/>
      <w:i/>
      <w:iCs/>
      <w:color w:val="616161"/>
    </w:rPr>
  </w:style>
  <w:style w:type="paragraph" w:styleId="859" w:customStyle="1">
    <w:name w:val="Contents 10"/>
    <w:basedOn w:val="841"/>
    <w:next w:val="841"/>
    <w:pPr>
      <w:ind w:left="1800"/>
    </w:pPr>
  </w:style>
  <w:style w:type="paragraph" w:styleId="860">
    <w:name w:val="Title"/>
    <w:basedOn w:val="841"/>
    <w:next w:val="841"/>
    <w:rPr>
      <w:rFonts w:ascii="XO Thames" w:hAnsi="XO Thames" w:eastAsia="XO Thames" w:cs="XO Thames"/>
      <w:b/>
      <w:bCs/>
      <w:sz w:val="52"/>
      <w:szCs w:val="52"/>
    </w:rPr>
  </w:style>
  <w:style w:type="paragraph" w:styleId="861" w:customStyle="1">
    <w:name w:val="Text body"/>
    <w:basedOn w:val="841"/>
    <w:pPr>
      <w:spacing w:after="140" w:line="276" w:lineRule="auto"/>
    </w:pPr>
  </w:style>
  <w:style w:type="paragraph" w:styleId="862">
    <w:name w:val="Header"/>
    <w:basedOn w:val="827"/>
    <w:pPr>
      <w:tabs>
        <w:tab w:val="center" w:pos="4677" w:leader="none"/>
        <w:tab w:val="right" w:pos="9355" w:leader="none"/>
      </w:tabs>
    </w:pPr>
  </w:style>
  <w:style w:type="character" w:styleId="863" w:customStyle="1">
    <w:name w:val="Верхний колонтитул Знак"/>
    <w:basedOn w:val="833"/>
  </w:style>
  <w:style w:type="paragraph" w:styleId="864">
    <w:name w:val="Footer"/>
    <w:basedOn w:val="827"/>
    <w:pPr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833"/>
  </w:style>
  <w:style w:type="paragraph" w:styleId="866">
    <w:name w:val="No Spacing"/>
    <w:uiPriority w:val="1"/>
    <w:qFormat/>
    <w:rPr>
      <w:rFonts w:ascii="Calibri" w:hAnsi="Calibri" w:eastAsia="Times New Roman" w:cs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RTN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revision>8</cp:revision>
  <dcterms:created xsi:type="dcterms:W3CDTF">2022-12-27T07:08:00Z</dcterms:created>
  <dcterms:modified xsi:type="dcterms:W3CDTF">2023-11-02T06:55:55Z</dcterms:modified>
</cp:coreProperties>
</file>